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4ECB0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5D26E5">
        <w:rPr>
          <w:rFonts w:ascii="Garamond" w:hAnsi="Garamond"/>
          <w:sz w:val="24"/>
          <w:szCs w:val="24"/>
        </w:rPr>
        <w:t>20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04619B9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26E5" w:rsidRPr="002933D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https://zakazky.zcu.cz/contract_display_4949.html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3F0282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5D26E5">
        <w:rPr>
          <w:rFonts w:ascii="Garamond" w:hAnsi="Garamond" w:cs="Arial"/>
          <w:b/>
          <w:sz w:val="22"/>
          <w:szCs w:val="22"/>
        </w:rPr>
        <w:t>08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5D26E5">
        <w:rPr>
          <w:rFonts w:ascii="Garamond" w:hAnsi="Garamond" w:cs="Arial"/>
          <w:b/>
          <w:sz w:val="22"/>
          <w:szCs w:val="22"/>
        </w:rPr>
        <w:t>11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D372D2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BDED870" w:rsidR="002F419F" w:rsidRPr="00F54D1D" w:rsidRDefault="005D26E5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proofErr w:type="gramStart"/>
      <w:r w:rsidR="00014F34" w:rsidRPr="008D1DB2">
        <w:rPr>
          <w:rFonts w:ascii="Garamond" w:hAnsi="Garamond" w:cs="Arial"/>
          <w:sz w:val="22"/>
          <w:szCs w:val="22"/>
        </w:rPr>
        <w:t>5%</w:t>
      </w:r>
      <w:proofErr w:type="gramEnd"/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bookmarkStart w:id="26" w:name="_GoBack"/>
      <w:bookmarkEnd w:id="26"/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15BDAE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06B2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F3AD9" w14:textId="77777777" w:rsidR="000634A9" w:rsidRDefault="000634A9" w:rsidP="00795AAC">
      <w:r>
        <w:separator/>
      </w:r>
    </w:p>
  </w:endnote>
  <w:endnote w:type="continuationSeparator" w:id="0">
    <w:p w14:paraId="30CB3032" w14:textId="77777777" w:rsidR="000634A9" w:rsidRDefault="000634A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88E84" w14:textId="77777777" w:rsidR="000634A9" w:rsidRDefault="000634A9" w:rsidP="00795AAC">
      <w:r>
        <w:separator/>
      </w:r>
    </w:p>
  </w:footnote>
  <w:footnote w:type="continuationSeparator" w:id="0">
    <w:p w14:paraId="776FC127" w14:textId="77777777" w:rsidR="000634A9" w:rsidRDefault="000634A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4A9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26E5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705754C4-C42E-4332-A3F0-E437140F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49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3RabOYDuHwqFybLKKUjUQb0xLvU5qquwF2GzU8p5njk=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3BNJWkvFKlO4ctXXP32j8xubU0TTfP2QgSuWaUjT6F0=</DigestValue>
    </Reference>
  </SignedInfo>
  <SignatureValue>EMmgOWaQ4jUdI2Got45YhfGMt7hVyeoZ8J4/EpvML8C+t4TnX3ow7OiVfPQnwJtZZjiU1QWUlr5O
FLPZD6ZD26Q0YaTLcEFzhK2SnKEFms3h8lsPfZ4wTN0M9h+NTjbU87qTikcqvJntJvr1FhxzDdAj
tBN+6uHxej6rttJbBaP6VRySIzEDn49avn8ro0JTVGgea4cUlN66tRRBGE3dyXqzFiUEZBQaWndX
rlpP3m8f4bKzWYCc68YE2n10Fzq+4VP3F4bd4QrILUcNzG6cWj5FNEYeV5r16idIKaN4fa/ogQ5a
rxpxX/2pd9pugf5O35+jncPilewxzh2TEz4SPg==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giqs3mseqg3gblfK6iqwK+FLVcTy7gfp7ACaE7OBeFQ=</DigestValue>
      </Reference>
      <Reference URI="/word/document.xml?ContentType=application/vnd.openxmlformats-officedocument.wordprocessingml.document.main+xml">
        <DigestMethod Algorithm="http://www.w3.org/2001/04/xmlenc#sha256"/>
        <DigestValue>BDfJ0HgZvQoWjlH1hFuGYrsaLYegoGCjtAaQ12PDc3c=</DigestValue>
      </Reference>
      <Reference URI="/word/endnotes.xml?ContentType=application/vnd.openxmlformats-officedocument.wordprocessingml.endnotes+xml">
        <DigestMethod Algorithm="http://www.w3.org/2001/04/xmlenc#sha256"/>
        <DigestValue>64+gzu2XCysXMFvMn2S8fL1B9nOLIcUJoLu50oalXM0=</DigestValue>
      </Reference>
      <Reference URI="/word/fontTable.xml?ContentType=application/vnd.openxmlformats-officedocument.wordprocessingml.fontTable+xml">
        <DigestMethod Algorithm="http://www.w3.org/2001/04/xmlenc#sha256"/>
        <DigestValue>E9f/fzkwZQURRrmjVRWwcTS0pRIxU+tpuklLGrP+iGM=</DigestValue>
      </Reference>
      <Reference URI="/word/footer1.xml?ContentType=application/vnd.openxmlformats-officedocument.wordprocessingml.footer+xml">
        <DigestMethod Algorithm="http://www.w3.org/2001/04/xmlenc#sha256"/>
        <DigestValue>vBCKaLp7NH9THo90Z5UBkNwiuIaUweMWmKdXsKqG0eQ=</DigestValue>
      </Reference>
      <Reference URI="/word/footnotes.xml?ContentType=application/vnd.openxmlformats-officedocument.wordprocessingml.footnotes+xml">
        <DigestMethod Algorithm="http://www.w3.org/2001/04/xmlenc#sha256"/>
        <DigestValue>nrBYsOXfIhOQXivyyk2vR9q0xntORTxrHpSzoQztTE0=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oc/jJV85FTHcAE05Pgkp4pZVdLzWDCSZMiGT/sKszVk=</DigestValue>
      </Reference>
      <Reference URI="/word/styles.xml?ContentType=application/vnd.openxmlformats-officedocument.wordprocessingml.styles+xml">
        <DigestMethod Algorithm="http://www.w3.org/2001/04/xmlenc#sha256"/>
        <DigestValue>JA1IBUAhR2ZcS4M8B1O/8KbX7kpf0pustxfCz3VIv2o=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2021-10-27T11:45:09Z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2021-10-27T11:45:09Z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9BF9E-B709-4BD9-B461-AD81FFDF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2658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8</cp:revision>
  <cp:lastPrinted>2018-08-08T13:48:00Z</cp:lastPrinted>
  <dcterms:created xsi:type="dcterms:W3CDTF">2021-03-19T09:53:00Z</dcterms:created>
  <dcterms:modified xsi:type="dcterms:W3CDTF">2021-10-27T11:45:00Z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